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6"/>
        <w:spacing w:before="0"/>
        <w:ind w:left="0" w:firstLine="709"/>
        <w:jc w:val="left"/>
        <w:rPr>
          <w:b/>
          <w:lang w:val="ru-RU"/>
        </w:rPr>
      </w:pPr>
      <w:r>
        <w:rPr>
          <w:b/>
          <w:lang w:val="ru-RU"/>
        </w:rPr>
        <w:t>Правила использования API отчета о кассовом зачислении, распределении и поступлении ввозных таможенных пошлин, а также специальных, антидемпинговых и компенсационных пошлин в рамках Евразийского экономического союза.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5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 xml:space="preserve">обмена данными, основанный на </w:t>
      </w:r>
      <w:hyperlink r:id="rId6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«?», а затем один или несколько параметров запроса. </w:t>
      </w:r>
      <w:proofErr w:type="gramStart"/>
      <w:r>
        <w:rPr>
          <w:sz w:val="24"/>
          <w:szCs w:val="24"/>
          <w:lang w:val="ru-RU"/>
        </w:rPr>
        <w:t>Например</w:t>
      </w:r>
      <w:proofErr w:type="gramEnd"/>
      <w:r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customduty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=1000.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</w:t>
      </w:r>
      <w:proofErr w:type="gramStart"/>
      <w:r>
        <w:rPr>
          <w:sz w:val="24"/>
          <w:szCs w:val="24"/>
          <w:lang w:val="ru-RU"/>
        </w:rPr>
        <w:t>например</w:t>
      </w:r>
      <w:proofErr w:type="gramEnd"/>
      <w:r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7710568760-</w:t>
      </w:r>
      <w:proofErr w:type="spellStart"/>
      <w:r>
        <w:rPr>
          <w:sz w:val="24"/>
          <w:szCs w:val="24"/>
        </w:rPr>
        <w:t>customduty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=1000, количество отображаемых элементов на одной странице станет 1000.</w:t>
      </w:r>
    </w:p>
    <w:p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7710568760-</w:t>
      </w:r>
      <w:proofErr w:type="spellStart"/>
      <w:r>
        <w:rPr>
          <w:sz w:val="24"/>
          <w:szCs w:val="24"/>
        </w:rPr>
        <w:t>customduty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7710568760-</w:t>
      </w:r>
      <w:proofErr w:type="spellStart"/>
      <w:r>
        <w:rPr>
          <w:sz w:val="24"/>
          <w:szCs w:val="24"/>
        </w:rPr>
        <w:t>customduty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атр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KD, STRCODE, AMOUNT, GUID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>
        <w:trPr>
          <w:cantSplit/>
          <w:tblHeader/>
        </w:trPr>
        <w:tc>
          <w:tcPr>
            <w:tcW w:w="1399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Отчетная дата. </w:t>
            </w:r>
          </w:p>
        </w:tc>
      </w:tr>
      <w:tr>
        <w:trPr>
          <w:cantSplit/>
          <w:trHeight w:val="244"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Style w:val="x1a"/>
                <w:rFonts w:ascii="Times New Roman" w:hAnsi="Times New Roman" w:cs="Times New Roman"/>
              </w:rPr>
            </w:pPr>
            <w:r>
              <w:rPr>
                <w:rStyle w:val="x1a"/>
                <w:rFonts w:ascii="Times New Roman" w:hAnsi="Times New Roman" w:cs="Times New Roman"/>
              </w:rPr>
              <w:t>Периодичность представления отчета: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поступления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AMOUNT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NUMBER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записи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lastRenderedPageBreak/>
        <w:t>Блок SUBBO с набором атрибутов: FONAME, FOCODE, BUDGET, OKPO, INN.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>
        <w:trPr>
          <w:trHeight w:val="76"/>
        </w:trP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внебюджетным фондом;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казначейство.</w:t>
            </w:r>
          </w:p>
        </w:tc>
      </w:tr>
    </w:tbl>
    <w:p>
      <w:pPr>
        <w:tabs>
          <w:tab w:val="left" w:pos="709"/>
        </w:tabs>
        <w:jc w:val="left"/>
        <w:rPr>
          <w:rStyle w:val="x1a"/>
          <w:lang w:val="en-US"/>
        </w:rPr>
      </w:pPr>
    </w:p>
    <w:p>
      <w:pPr>
        <w:rPr>
          <w:sz w:val="28"/>
          <w:szCs w:val="28"/>
          <w:lang w:val="en-US"/>
        </w:rPr>
      </w:pPr>
      <w:r>
        <w:rPr>
          <w:rStyle w:val="x1a"/>
        </w:rPr>
        <w:t>Блок</w:t>
      </w:r>
      <w:r>
        <w:rPr>
          <w:rStyle w:val="x1a"/>
          <w:lang w:val="en-US"/>
        </w:rPr>
        <w:t xml:space="preserve"> FORMSECTIONS </w:t>
      </w:r>
      <w:r>
        <w:rPr>
          <w:rStyle w:val="x1a"/>
        </w:rPr>
        <w:t>с</w:t>
      </w:r>
      <w:r>
        <w:rPr>
          <w:rStyle w:val="x1a"/>
          <w:lang w:val="en-US"/>
        </w:rPr>
        <w:t xml:space="preserve"> </w:t>
      </w:r>
      <w:r>
        <w:rPr>
          <w:rStyle w:val="x1a"/>
        </w:rPr>
        <w:t>набором</w:t>
      </w:r>
      <w:r>
        <w:rPr>
          <w:rStyle w:val="x1a"/>
          <w:lang w:val="en-US"/>
        </w:rPr>
        <w:t xml:space="preserve"> </w:t>
      </w:r>
      <w:r>
        <w:rPr>
          <w:rStyle w:val="x1a"/>
        </w:rPr>
        <w:t>атрибутов: ID, NUMDOC, SECTNAME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formsections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  <w:r>
              <w:rPr>
                <w:rFonts w:ascii="Times New Roman" w:hAnsi="Times New Roman" w:cs="Times New Roman"/>
              </w:rPr>
              <w:t xml:space="preserve"> раздела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Сведения о кассовых зачислениях и распределениях;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Сведения о поступлениях.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NUMDOC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255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Номер раздела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SECTNAME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VARCH</w:t>
            </w:r>
            <w:r>
              <w:rPr>
                <w:rFonts w:ascii="Times New Roman" w:hAnsi="Times New Roman" w:cs="Times New Roman"/>
              </w:rPr>
              <w:t>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KD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CODE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kd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дохода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customduty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 (ОКУД 0507068);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 xml:space="preserve">Например, если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7710568760-</w:t>
      </w:r>
      <w:proofErr w:type="spellStart"/>
      <w:r>
        <w:rPr>
          <w:sz w:val="24"/>
          <w:szCs w:val="24"/>
        </w:rPr>
        <w:t>customduty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/data?filterperiod=01012018, то в ответ получим только те записи, у которых отчетная дата соответствует 01.01.2018.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годовой тип периодичности.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=392, то в ответ получим только те записи, у которых код субъекта бюджетной отчетности равен 392.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okpo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=00042116, то в ответ получим только те записи, у которых ОКПО субъекта бюджетной отчетности равно 00042116.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ИНН субъекта бюджетной отчетности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, блок SUBBO).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=7736056647, то в ответ получим только те записи, у которых ИНН субъекта бюджетной отчетности равен 7736056647.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/data?filteroktmo.oktmocode=80000000, то в ответ получим только те записи, у которых код ОКТМО равен 80000000.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/data?filteroktmo.oktmoname=Республика Башкортостан, то в ответ получим только те записи, у которых наименование ОКТМО соответствует значению «Республика Башкортостан».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</w:t>
      </w: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=01, то в ответ получим только те записи, у которых код субъекта РФ равен 01.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источника данных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DATASOURCE</w:t>
      </w:r>
      <w:r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datasourse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=3, то в ответ получим только те записи, у которых код источника данных равен 3 (Орган управления государственным внебюджетным фондом, соответствие кодов источников данных представлено в описании блока).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дохода (атрибут CODE, блок K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</w:t>
      </w:r>
      <w:r>
        <w:rPr>
          <w:rFonts w:ascii="Times New Roman" w:hAnsi="Times New Roman" w:cs="Times New Roman"/>
          <w:spacing w:val="-2"/>
          <w:sz w:val="24"/>
          <w:szCs w:val="24"/>
        </w:rPr>
        <w:t>7710568760-customduty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kd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>
        <w:rPr>
          <w:rFonts w:ascii="Times New Roman" w:hAnsi="Times New Roman" w:cs="Times New Roman"/>
          <w:spacing w:val="-2"/>
          <w:sz w:val="24"/>
          <w:szCs w:val="24"/>
        </w:rPr>
        <w:t>=11101050050000120, то в ответ получим только те записи, у которых код дохода равен 11101050050000120.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Разделу (атрибут ID блока </w:t>
      </w:r>
      <w:r>
        <w:rPr>
          <w:rFonts w:ascii="Times New Roman" w:hAnsi="Times New Roman" w:cs="Times New Roman"/>
          <w:spacing w:val="-2"/>
          <w:sz w:val="24"/>
          <w:szCs w:val="24"/>
        </w:rPr>
        <w:t>FORMSECTIONS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>Например, если указать в запросе http://budget.gov.ru/epbs/registry/7710568760-customduty/data?filter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formsections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=4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</w:t>
      </w:r>
      <w:r>
        <w:rPr>
          <w:rFonts w:ascii="Times New Roman" w:hAnsi="Times New Roman" w:cs="Times New Roman"/>
          <w:spacing w:val="-2"/>
          <w:sz w:val="24"/>
          <w:szCs w:val="24"/>
        </w:rPr>
        <w:t>чим только те записи, которые относятся к разделу «</w:t>
      </w:r>
      <w:r>
        <w:rPr>
          <w:rFonts w:ascii="Times New Roman" w:hAnsi="Times New Roman" w:cs="Times New Roman"/>
          <w:spacing w:val="-2"/>
          <w:sz w:val="24"/>
          <w:szCs w:val="24"/>
        </w:rPr>
        <w:t>Сведения о кассовых зачислениях и распределениях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>
        <w:rPr>
          <w:rFonts w:ascii="Times New Roman" w:hAnsi="Times New Roman" w:cs="Times New Roman"/>
          <w:spacing w:val="-2"/>
          <w:sz w:val="24"/>
          <w:szCs w:val="24"/>
        </w:rPr>
        <w:t>(соответствие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значений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и</w:t>
      </w:r>
      <w:bookmarkStart w:id="0" w:name="_GoBack"/>
      <w:bookmarkEnd w:id="0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разделов </w:t>
      </w:r>
      <w:r>
        <w:rPr>
          <w:rFonts w:ascii="Times New Roman" w:hAnsi="Times New Roman" w:cs="Times New Roman"/>
          <w:spacing w:val="-2"/>
          <w:sz w:val="24"/>
          <w:szCs w:val="24"/>
        </w:rPr>
        <w:t>представлено в описании блока).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 xml:space="preserve">используется для изменения порядка сортировки. </w:t>
      </w:r>
      <w:proofErr w:type="gramStart"/>
      <w:r>
        <w:rPr>
          <w:lang w:val="ru-RU"/>
        </w:rPr>
        <w:t>Например</w:t>
      </w:r>
      <w:proofErr w:type="gramEnd"/>
      <w:r>
        <w:rPr>
          <w:lang w:val="ru-RU"/>
        </w:rPr>
        <w:t>: http://budget.gov.ru/epbs/registry/</w:t>
      </w:r>
      <w:r>
        <w:rPr>
          <w:spacing w:val="-2"/>
          <w:lang w:val="ru-RU"/>
        </w:rPr>
        <w:t>7710568760-</w:t>
      </w:r>
      <w:proofErr w:type="spellStart"/>
      <w:r>
        <w:rPr>
          <w:spacing w:val="-2"/>
        </w:rPr>
        <w:t>customduty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data?sortField</w:t>
      </w:r>
      <w:proofErr w:type="spellEnd"/>
      <w:r>
        <w:rPr>
          <w:lang w:val="ru-RU"/>
        </w:rPr>
        <w:t>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</w:t>
      </w:r>
      <w:proofErr w:type="spellStart"/>
      <w:r>
        <w:rPr>
          <w:spacing w:val="-2"/>
        </w:rPr>
        <w:t>customduty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data?sortField</w:t>
      </w:r>
      <w:proofErr w:type="spellEnd"/>
      <w:r>
        <w:rPr>
          <w:lang w:val="ru-RU"/>
        </w:rPr>
        <w:t>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353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86C018E"/>
    <w:multiLevelType w:val="hybridMultilevel"/>
    <w:tmpl w:val="2C4A7DF6"/>
    <w:lvl w:ilvl="0" w:tplc="8B5A6182">
      <w:start w:val="5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5D067916"/>
    <w:multiLevelType w:val="hybridMultilevel"/>
    <w:tmpl w:val="01543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1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5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5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9"/>
  </w:num>
  <w:num w:numId="13">
    <w:abstractNumId w:val="10"/>
  </w:num>
  <w:num w:numId="14">
    <w:abstractNumId w:val="5"/>
  </w:num>
  <w:num w:numId="15">
    <w:abstractNumId w:val="14"/>
  </w:num>
  <w:num w:numId="1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246D-C618-4CDE-995E-BC28C118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qFormat/>
    <w:pPr>
      <w:keepNext/>
      <w:tabs>
        <w:tab w:val="num" w:pos="933"/>
      </w:tabs>
      <w:spacing w:before="240" w:after="60"/>
      <w:ind w:left="933" w:hanging="576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21">
    <w:name w:val="Заголовок 2 Знак"/>
    <w:basedOn w:val="a1"/>
    <w:link w:val="2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JavaScript" TargetMode="External"/><Relationship Id="rId5" Type="http://schemas.openxmlformats.org/officeDocument/2006/relationships/hyperlink" Target="http://ru.wikipedia.org/wiki/%D0%A2%D0%B5%D0%BA%D1%81%D1%82%D0%BE%D0%B2%D1%8B%D0%B9_%D1%84%D0%BE%D1%80%D0%BC%D0%B0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8166</TotalTime>
  <Pages>4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Старова Анна Андреевна</cp:lastModifiedBy>
  <cp:revision>113</cp:revision>
  <dcterms:created xsi:type="dcterms:W3CDTF">2015-04-23T07:49:00Z</dcterms:created>
  <dcterms:modified xsi:type="dcterms:W3CDTF">2018-08-15T10:16:00Z</dcterms:modified>
</cp:coreProperties>
</file>